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94" w:rsidRPr="00994994" w:rsidRDefault="009B7CFA" w:rsidP="009B7CFA">
      <w:pPr>
        <w:pStyle w:val="NoSpacing"/>
        <w:rPr>
          <w:sz w:val="24"/>
        </w:rPr>
      </w:pPr>
      <w:r w:rsidRPr="00994994">
        <w:rPr>
          <w:sz w:val="24"/>
        </w:rPr>
        <w:t>Bacteria → Gm+ → Pleomorphic → Corynebacterium</w:t>
      </w:r>
    </w:p>
    <w:p w:rsidR="009B7CFA" w:rsidRDefault="009B7CFA" w:rsidP="009B7CFA">
      <w:pPr>
        <w:pStyle w:val="NoSpacing"/>
        <w:numPr>
          <w:ilvl w:val="0"/>
          <w:numId w:val="1"/>
        </w:numPr>
      </w:pPr>
      <w:r>
        <w:t xml:space="preserve">Gm+ | Irregular-shaped | No spores | Facultative Anaerobe | Non-motile </w:t>
      </w:r>
    </w:p>
    <w:p w:rsidR="009B7CFA" w:rsidRDefault="009B7CFA" w:rsidP="009B7CFA">
      <w:pPr>
        <w:pStyle w:val="NoSpacing"/>
        <w:numPr>
          <w:ilvl w:val="0"/>
          <w:numId w:val="1"/>
        </w:numPr>
      </w:pPr>
      <w:r>
        <w:t>Opportunistic Infection | Normal flora of skin, UR, GI, Urogenital</w:t>
      </w:r>
    </w:p>
    <w:p w:rsidR="00994994" w:rsidRDefault="00994994" w:rsidP="00994994">
      <w:pPr>
        <w:pStyle w:val="NoSpacing"/>
      </w:pPr>
    </w:p>
    <w:p w:rsidR="00B87433" w:rsidRPr="00C848F1" w:rsidRDefault="00B87433" w:rsidP="00994994">
      <w:pPr>
        <w:pStyle w:val="NoSpacing"/>
        <w:rPr>
          <w:b/>
        </w:rPr>
      </w:pPr>
      <w:r w:rsidRPr="00C848F1">
        <w:rPr>
          <w:b/>
        </w:rPr>
        <w:t>C. diphtheriae</w:t>
      </w:r>
    </w:p>
    <w:p w:rsidR="00B87433" w:rsidRDefault="00B87433" w:rsidP="00994994">
      <w:pPr>
        <w:pStyle w:val="NoSpacing"/>
        <w:numPr>
          <w:ilvl w:val="0"/>
          <w:numId w:val="1"/>
        </w:numPr>
      </w:pPr>
      <w:r>
        <w:t xml:space="preserve">4 biotypes (gravis + mitis → </w:t>
      </w:r>
      <w:r w:rsidR="007538B9">
        <w:t>can acquire prophage that encodes toxin</w:t>
      </w:r>
      <w:r w:rsidR="00650C2A">
        <w:t>)</w:t>
      </w:r>
    </w:p>
    <w:p w:rsidR="00650C2A" w:rsidRDefault="00650C2A" w:rsidP="00994994">
      <w:pPr>
        <w:pStyle w:val="NoSpacing"/>
        <w:numPr>
          <w:ilvl w:val="0"/>
          <w:numId w:val="1"/>
        </w:numPr>
      </w:pPr>
      <w:r>
        <w:t>Epidemiology: Oral/Resp droplets | Close physical contact | Fomites (rarely)</w:t>
      </w:r>
    </w:p>
    <w:p w:rsidR="00650C2A" w:rsidRDefault="00650C2A" w:rsidP="00994994">
      <w:pPr>
        <w:pStyle w:val="NoSpacing"/>
        <w:numPr>
          <w:ilvl w:val="0"/>
          <w:numId w:val="1"/>
        </w:numPr>
      </w:pPr>
      <w:r>
        <w:t xml:space="preserve"> </w:t>
      </w:r>
      <w:r>
        <w:tab/>
        <w:t xml:space="preserve">           (primarily pediatric)   (common in tropical countries)</w:t>
      </w:r>
    </w:p>
    <w:p w:rsidR="00AC6B14" w:rsidRDefault="00AC6B14" w:rsidP="00994994">
      <w:pPr>
        <w:pStyle w:val="NoSpacing"/>
        <w:numPr>
          <w:ilvl w:val="1"/>
          <w:numId w:val="1"/>
        </w:numPr>
      </w:pPr>
      <w:r>
        <w:t>Endemic in Asia &gt; Africa &gt; South America</w:t>
      </w:r>
    </w:p>
    <w:p w:rsidR="00053297" w:rsidRDefault="00053297" w:rsidP="00994994">
      <w:pPr>
        <w:pStyle w:val="NoSpacing"/>
        <w:numPr>
          <w:ilvl w:val="0"/>
          <w:numId w:val="1"/>
        </w:numPr>
      </w:pPr>
      <w:r>
        <w:t>Clinical Implications</w:t>
      </w:r>
    </w:p>
    <w:p w:rsidR="00053297" w:rsidRDefault="00053297" w:rsidP="00994994">
      <w:pPr>
        <w:pStyle w:val="NoSpacing"/>
        <w:numPr>
          <w:ilvl w:val="1"/>
          <w:numId w:val="1"/>
        </w:numPr>
      </w:pPr>
      <w:r>
        <w:t>Respiratory diphtheria</w:t>
      </w:r>
    </w:p>
    <w:p w:rsidR="00053297" w:rsidRDefault="00053297" w:rsidP="00994994">
      <w:pPr>
        <w:pStyle w:val="NoSpacing"/>
        <w:numPr>
          <w:ilvl w:val="2"/>
          <w:numId w:val="1"/>
        </w:numPr>
      </w:pPr>
      <w:r>
        <w:t>Gradual onset of mild fever | Sore throat | Difficulty swallowing | Loss of appetite | Hoarseness</w:t>
      </w:r>
    </w:p>
    <w:p w:rsidR="00053297" w:rsidRDefault="00053297" w:rsidP="00994994">
      <w:pPr>
        <w:pStyle w:val="NoSpacing"/>
        <w:numPr>
          <w:ilvl w:val="2"/>
          <w:numId w:val="1"/>
        </w:numPr>
      </w:pPr>
      <w:r>
        <w:t xml:space="preserve">Presence of a membrane appearing within 2-3 days of illness </w:t>
      </w:r>
    </w:p>
    <w:p w:rsidR="00053297" w:rsidRDefault="00053297" w:rsidP="00994994">
      <w:pPr>
        <w:pStyle w:val="NoSpacing"/>
        <w:numPr>
          <w:ilvl w:val="3"/>
          <w:numId w:val="1"/>
        </w:numPr>
      </w:pPr>
      <w:r>
        <w:t>Firm, fleshy, grey, adherent</w:t>
      </w:r>
    </w:p>
    <w:p w:rsidR="00053297" w:rsidRDefault="00053297" w:rsidP="00994994">
      <w:pPr>
        <w:pStyle w:val="NoSpacing"/>
        <w:numPr>
          <w:ilvl w:val="2"/>
          <w:numId w:val="1"/>
        </w:numPr>
      </w:pPr>
      <w:r>
        <w:t>“Bull-neck” appearance</w:t>
      </w:r>
    </w:p>
    <w:p w:rsidR="00053297" w:rsidRDefault="00053297" w:rsidP="00994994">
      <w:pPr>
        <w:pStyle w:val="NoSpacing"/>
        <w:numPr>
          <w:ilvl w:val="2"/>
          <w:numId w:val="1"/>
        </w:numPr>
      </w:pPr>
      <w:r>
        <w:t>System complications (if disseminated) → what people die from</w:t>
      </w:r>
    </w:p>
    <w:p w:rsidR="00053297" w:rsidRDefault="00D67B6D" w:rsidP="00994994">
      <w:pPr>
        <w:pStyle w:val="NoSpacing"/>
        <w:numPr>
          <w:ilvl w:val="0"/>
          <w:numId w:val="1"/>
        </w:numPr>
      </w:pPr>
      <w:r>
        <w:t>Diphteria Toxin (Binary Toxin)</w:t>
      </w:r>
    </w:p>
    <w:p w:rsidR="00D67B6D" w:rsidRDefault="00D67B6D" w:rsidP="00994994">
      <w:pPr>
        <w:pStyle w:val="NoSpacing"/>
        <w:numPr>
          <w:ilvl w:val="1"/>
          <w:numId w:val="1"/>
        </w:numPr>
      </w:pPr>
      <w:r>
        <w:rPr>
          <w:rFonts w:cstheme="minorHAnsi"/>
        </w:rPr>
        <w:t>β</w:t>
      </w:r>
      <w:r>
        <w:t xml:space="preserve"> – binds heparin-binding epidermal growth factor → form pore</w:t>
      </w:r>
    </w:p>
    <w:p w:rsidR="00D67B6D" w:rsidRDefault="00D67B6D" w:rsidP="00994994">
      <w:pPr>
        <w:pStyle w:val="NoSpacing"/>
        <w:numPr>
          <w:ilvl w:val="1"/>
          <w:numId w:val="1"/>
        </w:numPr>
      </w:pPr>
      <w:r>
        <w:rPr>
          <w:rFonts w:cstheme="minorHAnsi"/>
        </w:rPr>
        <w:t>α</w:t>
      </w:r>
      <w:r>
        <w:t xml:space="preserve"> – Inactivates elongation factor 2 → terminates all protein synthesis → kills tissue</w:t>
      </w:r>
    </w:p>
    <w:p w:rsidR="00E640B2" w:rsidRDefault="00BB7A16" w:rsidP="00994994">
      <w:pPr>
        <w:pStyle w:val="NoSpacing"/>
        <w:numPr>
          <w:ilvl w:val="1"/>
          <w:numId w:val="1"/>
        </w:numPr>
      </w:pPr>
      <w:r>
        <w:t>Absorbed into mucous membrane</w:t>
      </w:r>
    </w:p>
    <w:p w:rsidR="00BB7A16" w:rsidRDefault="00BB7A16" w:rsidP="00994994">
      <w:pPr>
        <w:pStyle w:val="NoSpacing"/>
        <w:numPr>
          <w:ilvl w:val="1"/>
          <w:numId w:val="1"/>
        </w:numPr>
      </w:pPr>
      <w:r>
        <w:t>Invade + Establish Epithelial Layers</w:t>
      </w:r>
    </w:p>
    <w:p w:rsidR="00BB7A16" w:rsidRDefault="00BB7A16" w:rsidP="00994994">
      <w:pPr>
        <w:pStyle w:val="NoSpacing"/>
        <w:numPr>
          <w:ilvl w:val="1"/>
          <w:numId w:val="1"/>
        </w:numPr>
      </w:pPr>
      <w:r>
        <w:t>Toxin encoded by lysogenic bacteriophage</w:t>
      </w:r>
    </w:p>
    <w:p w:rsidR="00BB7A16" w:rsidRDefault="00BB7A16" w:rsidP="00994994">
      <w:pPr>
        <w:pStyle w:val="NoSpacing"/>
        <w:numPr>
          <w:ilvl w:val="0"/>
          <w:numId w:val="1"/>
        </w:numPr>
      </w:pPr>
      <w:r>
        <w:t>Diagnosis</w:t>
      </w:r>
    </w:p>
    <w:p w:rsidR="00BB7A16" w:rsidRDefault="00BB7A16" w:rsidP="00994994">
      <w:pPr>
        <w:pStyle w:val="NoSpacing"/>
        <w:numPr>
          <w:ilvl w:val="1"/>
          <w:numId w:val="1"/>
        </w:numPr>
      </w:pPr>
      <w:r>
        <w:t>Clinically (b/c need treatment ASAP)</w:t>
      </w:r>
    </w:p>
    <w:p w:rsidR="00BB7A16" w:rsidRDefault="00BB7A16" w:rsidP="00994994">
      <w:pPr>
        <w:pStyle w:val="NoSpacing"/>
        <w:numPr>
          <w:ilvl w:val="2"/>
          <w:numId w:val="1"/>
        </w:numPr>
      </w:pPr>
      <w:r>
        <w:t>Non-vaccinated or visit to endemic area</w:t>
      </w:r>
    </w:p>
    <w:p w:rsidR="00BB7A16" w:rsidRDefault="00BB7A16" w:rsidP="00994994">
      <w:pPr>
        <w:pStyle w:val="NoSpacing"/>
        <w:numPr>
          <w:ilvl w:val="2"/>
          <w:numId w:val="1"/>
        </w:numPr>
      </w:pPr>
      <w:r>
        <w:t>Pharyngeal characteristics</w:t>
      </w:r>
    </w:p>
    <w:p w:rsidR="00BB7A16" w:rsidRDefault="00BB7A16" w:rsidP="00994994">
      <w:pPr>
        <w:pStyle w:val="NoSpacing"/>
        <w:numPr>
          <w:ilvl w:val="1"/>
          <w:numId w:val="1"/>
        </w:numPr>
      </w:pPr>
      <w:r>
        <w:t>Assay for diphtheria toxin via PCR</w:t>
      </w:r>
    </w:p>
    <w:p w:rsidR="00BB7A16" w:rsidRDefault="00BB7A16" w:rsidP="00994994">
      <w:pPr>
        <w:pStyle w:val="NoSpacing"/>
        <w:numPr>
          <w:ilvl w:val="1"/>
          <w:numId w:val="1"/>
        </w:numPr>
      </w:pPr>
      <w:r>
        <w:t xml:space="preserve">Can grow in selective media </w:t>
      </w:r>
    </w:p>
    <w:p w:rsidR="00BB7A16" w:rsidRDefault="00BB7A16" w:rsidP="00994994">
      <w:pPr>
        <w:pStyle w:val="NoSpacing"/>
        <w:numPr>
          <w:ilvl w:val="2"/>
          <w:numId w:val="1"/>
        </w:numPr>
      </w:pPr>
      <w:r>
        <w:t>Cysteine-tellurite blood agar (toxic to other bacteria + diphtheria changes its color)</w:t>
      </w:r>
    </w:p>
    <w:p w:rsidR="00BB7A16" w:rsidRDefault="00BB7A16" w:rsidP="00994994">
      <w:pPr>
        <w:pStyle w:val="NoSpacing"/>
        <w:numPr>
          <w:ilvl w:val="2"/>
          <w:numId w:val="1"/>
        </w:numPr>
      </w:pPr>
      <w:r>
        <w:t>Colisitin-Nalidixic agar</w:t>
      </w:r>
    </w:p>
    <w:p w:rsidR="00BB7A16" w:rsidRDefault="00A8521C" w:rsidP="00994994">
      <w:pPr>
        <w:pStyle w:val="NoSpacing"/>
        <w:numPr>
          <w:ilvl w:val="0"/>
          <w:numId w:val="1"/>
        </w:numPr>
      </w:pPr>
      <w:r>
        <w:t>Treatment</w:t>
      </w:r>
    </w:p>
    <w:p w:rsidR="00A8521C" w:rsidRDefault="00A8521C" w:rsidP="00994994">
      <w:pPr>
        <w:pStyle w:val="NoSpacing"/>
        <w:numPr>
          <w:ilvl w:val="1"/>
          <w:numId w:val="1"/>
        </w:numPr>
      </w:pPr>
      <w:r>
        <w:t>Antitoxin (Earlier is better)</w:t>
      </w:r>
    </w:p>
    <w:p w:rsidR="00A8521C" w:rsidRDefault="00A8521C" w:rsidP="00994994">
      <w:pPr>
        <w:pStyle w:val="NoSpacing"/>
        <w:numPr>
          <w:ilvl w:val="1"/>
          <w:numId w:val="1"/>
        </w:numPr>
      </w:pPr>
      <w:r>
        <w:t>Ensure clear airway</w:t>
      </w:r>
    </w:p>
    <w:p w:rsidR="00A8521C" w:rsidRDefault="00A8521C" w:rsidP="00994994">
      <w:pPr>
        <w:pStyle w:val="NoSpacing"/>
        <w:numPr>
          <w:ilvl w:val="1"/>
          <w:numId w:val="1"/>
        </w:numPr>
      </w:pPr>
      <w:r>
        <w:t>Admin antibiotic to clear bacteria</w:t>
      </w:r>
    </w:p>
    <w:p w:rsidR="00A8521C" w:rsidRDefault="00A8521C" w:rsidP="00994994">
      <w:pPr>
        <w:pStyle w:val="NoSpacing"/>
        <w:numPr>
          <w:ilvl w:val="1"/>
          <w:numId w:val="1"/>
        </w:numPr>
      </w:pPr>
      <w:r>
        <w:t>Antimicrobial prophylaxis if close-contact</w:t>
      </w:r>
    </w:p>
    <w:p w:rsidR="00A8521C" w:rsidRDefault="00A8521C" w:rsidP="00994994">
      <w:pPr>
        <w:pStyle w:val="NoSpacing"/>
        <w:numPr>
          <w:ilvl w:val="1"/>
          <w:numId w:val="1"/>
        </w:numPr>
      </w:pPr>
      <w:r>
        <w:t>Vaccine</w:t>
      </w:r>
    </w:p>
    <w:p w:rsidR="00A8521C" w:rsidRDefault="00A8521C" w:rsidP="00994994">
      <w:pPr>
        <w:pStyle w:val="NoSpacing"/>
        <w:numPr>
          <w:ilvl w:val="2"/>
          <w:numId w:val="1"/>
        </w:numPr>
      </w:pPr>
      <w:r>
        <w:t>DTaP – Combined against diphtheria, tetanus, + pertussis | 4 doses</w:t>
      </w:r>
    </w:p>
    <w:p w:rsidR="00A8521C" w:rsidRDefault="00A8521C" w:rsidP="00994994">
      <w:pPr>
        <w:pStyle w:val="NoSpacing"/>
        <w:numPr>
          <w:ilvl w:val="2"/>
          <w:numId w:val="1"/>
        </w:numPr>
      </w:pPr>
      <w:r>
        <w:t>Tdap – Collection of tetanus, reduced diphteris + reduced pertussis | Booster 10 yrs</w:t>
      </w:r>
    </w:p>
    <w:p w:rsidR="00994994" w:rsidRDefault="00994994" w:rsidP="00994994">
      <w:pPr>
        <w:pStyle w:val="NoSpacing"/>
      </w:pPr>
    </w:p>
    <w:p w:rsidR="00A8521C" w:rsidRPr="00C848F1" w:rsidRDefault="00A8521C" w:rsidP="00994994">
      <w:pPr>
        <w:pStyle w:val="NoSpacing"/>
        <w:rPr>
          <w:b/>
        </w:rPr>
      </w:pPr>
      <w:r w:rsidRPr="00C848F1">
        <w:rPr>
          <w:b/>
        </w:rPr>
        <w:t>C. jeikeium</w:t>
      </w:r>
    </w:p>
    <w:p w:rsidR="00A8521C" w:rsidRDefault="00A8521C" w:rsidP="00994994">
      <w:pPr>
        <w:pStyle w:val="NoSpacing"/>
        <w:numPr>
          <w:ilvl w:val="0"/>
          <w:numId w:val="1"/>
        </w:numPr>
      </w:pPr>
      <w:r>
        <w:t>Opportunistic | 40% of patients in hospital have on skin | Very resistant to Antibiotics</w:t>
      </w:r>
    </w:p>
    <w:p w:rsidR="00994994" w:rsidRDefault="00994994" w:rsidP="00994994">
      <w:pPr>
        <w:pStyle w:val="NoSpacing"/>
      </w:pPr>
    </w:p>
    <w:p w:rsidR="00A8521C" w:rsidRPr="00C848F1" w:rsidRDefault="00A8521C" w:rsidP="00994994">
      <w:pPr>
        <w:pStyle w:val="NoSpacing"/>
        <w:rPr>
          <w:b/>
        </w:rPr>
      </w:pPr>
      <w:r w:rsidRPr="00C848F1">
        <w:rPr>
          <w:b/>
        </w:rPr>
        <w:t>C. urealyticum</w:t>
      </w:r>
    </w:p>
    <w:p w:rsidR="00A8521C" w:rsidRDefault="00A8521C" w:rsidP="00994994">
      <w:pPr>
        <w:pStyle w:val="NoSpacing"/>
        <w:numPr>
          <w:ilvl w:val="0"/>
          <w:numId w:val="1"/>
        </w:numPr>
      </w:pPr>
      <w:r>
        <w:t>Uncommon | Strong urease produced → Caliculi or renal stones | Resistance to most antibiotics</w:t>
      </w:r>
    </w:p>
    <w:p w:rsidR="00994994" w:rsidRDefault="00994994" w:rsidP="00994994">
      <w:pPr>
        <w:pStyle w:val="NoSpacing"/>
      </w:pPr>
    </w:p>
    <w:p w:rsidR="00A8521C" w:rsidRPr="00C848F1" w:rsidRDefault="00A8521C" w:rsidP="00994994">
      <w:pPr>
        <w:pStyle w:val="NoSpacing"/>
        <w:rPr>
          <w:b/>
        </w:rPr>
      </w:pPr>
      <w:r w:rsidRPr="00C848F1">
        <w:rPr>
          <w:b/>
        </w:rPr>
        <w:t>C. amycolatum</w:t>
      </w:r>
    </w:p>
    <w:p w:rsidR="00A8521C" w:rsidRDefault="00A8521C" w:rsidP="00994994">
      <w:pPr>
        <w:pStyle w:val="NoSpacing"/>
        <w:numPr>
          <w:ilvl w:val="0"/>
          <w:numId w:val="1"/>
        </w:numPr>
      </w:pPr>
      <w:r>
        <w:t>Opportunistic | Resistant to many antibiotics</w:t>
      </w:r>
    </w:p>
    <w:p w:rsidR="00994994" w:rsidRDefault="00994994" w:rsidP="00994994">
      <w:pPr>
        <w:pStyle w:val="NoSpacing"/>
      </w:pPr>
    </w:p>
    <w:p w:rsidR="00A8521C" w:rsidRPr="00C848F1" w:rsidRDefault="00A8521C" w:rsidP="00994994">
      <w:pPr>
        <w:pStyle w:val="NoSpacing"/>
        <w:rPr>
          <w:b/>
        </w:rPr>
      </w:pPr>
      <w:r w:rsidRPr="00C848F1">
        <w:rPr>
          <w:b/>
        </w:rPr>
        <w:t>C. ulcerans / C. pseudotubercolosis</w:t>
      </w:r>
    </w:p>
    <w:p w:rsidR="00924F6F" w:rsidRDefault="00924F6F" w:rsidP="00994994">
      <w:pPr>
        <w:pStyle w:val="NoSpacing"/>
        <w:numPr>
          <w:ilvl w:val="0"/>
          <w:numId w:val="1"/>
        </w:numPr>
      </w:pPr>
      <w:r>
        <w:t>Carry diphtheria gene</w:t>
      </w:r>
    </w:p>
    <w:p w:rsidR="00E07B28" w:rsidRPr="00C848F1" w:rsidRDefault="00E07B28" w:rsidP="00994994">
      <w:pPr>
        <w:pStyle w:val="NoSpacing"/>
        <w:rPr>
          <w:b/>
        </w:rPr>
      </w:pPr>
      <w:r w:rsidRPr="00C848F1">
        <w:rPr>
          <w:b/>
        </w:rPr>
        <w:lastRenderedPageBreak/>
        <w:t>Arcanobacterium</w:t>
      </w:r>
    </w:p>
    <w:p w:rsidR="00E07B28" w:rsidRDefault="00E07B28" w:rsidP="00994994">
      <w:pPr>
        <w:pStyle w:val="NoSpacing"/>
        <w:numPr>
          <w:ilvl w:val="0"/>
          <w:numId w:val="1"/>
        </w:numPr>
      </w:pPr>
      <w:r>
        <w:t>Colonizer + Pathogen</w:t>
      </w:r>
    </w:p>
    <w:p w:rsidR="00E07B28" w:rsidRDefault="00E07B28" w:rsidP="00994994">
      <w:pPr>
        <w:pStyle w:val="NoSpacing"/>
        <w:numPr>
          <w:ilvl w:val="0"/>
          <w:numId w:val="1"/>
        </w:numPr>
      </w:pPr>
      <w:r>
        <w:t>T: Pen | Erythromycin</w:t>
      </w:r>
    </w:p>
    <w:p w:rsidR="00994994" w:rsidRDefault="00994994" w:rsidP="00994994">
      <w:pPr>
        <w:pStyle w:val="NoSpacing"/>
      </w:pPr>
    </w:p>
    <w:p w:rsidR="00E07B28" w:rsidRPr="00C848F1" w:rsidRDefault="00E07B28" w:rsidP="00994994">
      <w:pPr>
        <w:pStyle w:val="NoSpacing"/>
        <w:rPr>
          <w:b/>
        </w:rPr>
      </w:pPr>
      <w:r w:rsidRPr="00C848F1">
        <w:rPr>
          <w:b/>
        </w:rPr>
        <w:t>Brevibacterium</w:t>
      </w:r>
    </w:p>
    <w:p w:rsidR="00E07B28" w:rsidRDefault="00E07B28" w:rsidP="00994994">
      <w:pPr>
        <w:pStyle w:val="NoSpacing"/>
        <w:numPr>
          <w:ilvl w:val="0"/>
          <w:numId w:val="1"/>
        </w:numPr>
      </w:pPr>
      <w:r>
        <w:t>Skin colonizer | Cheese-like odor in culture</w:t>
      </w:r>
    </w:p>
    <w:p w:rsidR="00E07B28" w:rsidRDefault="00E07B28" w:rsidP="00994994">
      <w:pPr>
        <w:pStyle w:val="NoSpacing"/>
        <w:numPr>
          <w:ilvl w:val="0"/>
          <w:numId w:val="1"/>
        </w:numPr>
      </w:pPr>
      <w:r>
        <w:t>T: Vanco | Tetracycline | Gentamicin</w:t>
      </w:r>
    </w:p>
    <w:p w:rsidR="00994994" w:rsidRDefault="00994994" w:rsidP="00994994">
      <w:pPr>
        <w:pStyle w:val="NoSpacing"/>
      </w:pPr>
    </w:p>
    <w:p w:rsidR="00E07B28" w:rsidRPr="00C848F1" w:rsidRDefault="00E07B28" w:rsidP="00994994">
      <w:pPr>
        <w:pStyle w:val="NoSpacing"/>
        <w:rPr>
          <w:b/>
        </w:rPr>
      </w:pPr>
      <w:r w:rsidRPr="00C848F1">
        <w:rPr>
          <w:b/>
        </w:rPr>
        <w:t>Rothia mucilaginosa</w:t>
      </w:r>
    </w:p>
    <w:p w:rsidR="00E07B28" w:rsidRDefault="00E07B28" w:rsidP="00994994">
      <w:pPr>
        <w:pStyle w:val="NoSpacing"/>
        <w:numPr>
          <w:ilvl w:val="0"/>
          <w:numId w:val="1"/>
        </w:numPr>
      </w:pPr>
      <w:r>
        <w:t>Major colonizer of oropharynx + UR</w:t>
      </w:r>
      <w:bookmarkStart w:id="0" w:name="_GoBack"/>
      <w:bookmarkEnd w:id="0"/>
    </w:p>
    <w:p w:rsidR="00E07B28" w:rsidRDefault="00E07B28" w:rsidP="00994994">
      <w:pPr>
        <w:pStyle w:val="NoSpacing"/>
        <w:numPr>
          <w:ilvl w:val="0"/>
          <w:numId w:val="1"/>
        </w:numPr>
      </w:pPr>
      <w:r>
        <w:t>Mucoid + Sticky | Esp to damaged heart valves</w:t>
      </w:r>
    </w:p>
    <w:p w:rsidR="00E07B28" w:rsidRDefault="00E07B28" w:rsidP="00994994">
      <w:pPr>
        <w:pStyle w:val="NoSpacing"/>
        <w:numPr>
          <w:ilvl w:val="0"/>
          <w:numId w:val="1"/>
        </w:numPr>
      </w:pPr>
      <w:r>
        <w:t>T: Unpredictable | Need susceptibility testing first</w:t>
      </w:r>
    </w:p>
    <w:p w:rsidR="00994994" w:rsidRDefault="00994994" w:rsidP="00994994">
      <w:pPr>
        <w:pStyle w:val="NoSpacing"/>
      </w:pPr>
    </w:p>
    <w:p w:rsidR="00971B49" w:rsidRPr="00C848F1" w:rsidRDefault="00971B49" w:rsidP="00994994">
      <w:pPr>
        <w:pStyle w:val="NoSpacing"/>
        <w:rPr>
          <w:b/>
        </w:rPr>
      </w:pPr>
      <w:r w:rsidRPr="00C848F1">
        <w:rPr>
          <w:b/>
        </w:rPr>
        <w:t>Tropheryma whippelii</w:t>
      </w:r>
    </w:p>
    <w:p w:rsidR="00971B49" w:rsidRDefault="004F7E66" w:rsidP="00994994">
      <w:pPr>
        <w:pStyle w:val="NoSpacing"/>
        <w:numPr>
          <w:ilvl w:val="0"/>
          <w:numId w:val="1"/>
        </w:numPr>
      </w:pPr>
      <w:r>
        <w:t>Infects macrophage + ride it to tissues → persists</w:t>
      </w:r>
    </w:p>
    <w:p w:rsidR="004F7E66" w:rsidRDefault="004F7E66" w:rsidP="00994994">
      <w:pPr>
        <w:pStyle w:val="NoSpacing"/>
        <w:numPr>
          <w:ilvl w:val="0"/>
          <w:numId w:val="1"/>
        </w:numPr>
      </w:pPr>
      <w:r>
        <w:t>Cannot be grown outside of host cell</w:t>
      </w:r>
    </w:p>
    <w:p w:rsidR="004F7E66" w:rsidRDefault="004F7E66" w:rsidP="00994994">
      <w:pPr>
        <w:pStyle w:val="NoSpacing"/>
        <w:numPr>
          <w:ilvl w:val="0"/>
          <w:numId w:val="1"/>
        </w:numPr>
      </w:pPr>
      <w:r>
        <w:t>Clinical Implication: Whipple disease | GI disorder</w:t>
      </w:r>
    </w:p>
    <w:p w:rsidR="004F7E66" w:rsidRDefault="004F7E66" w:rsidP="00994994">
      <w:pPr>
        <w:pStyle w:val="NoSpacing"/>
        <w:numPr>
          <w:ilvl w:val="1"/>
          <w:numId w:val="1"/>
        </w:numPr>
      </w:pPr>
      <w:r>
        <w:t>Poor prognosis if untreated (fatal after 1 year)</w:t>
      </w:r>
    </w:p>
    <w:p w:rsidR="004F7E66" w:rsidRDefault="004F7E66" w:rsidP="00994994">
      <w:pPr>
        <w:pStyle w:val="NoSpacing"/>
        <w:numPr>
          <w:ilvl w:val="0"/>
          <w:numId w:val="1"/>
        </w:numPr>
      </w:pPr>
      <w:r>
        <w:t>D: Intestinal Biopsy | PCR confirmation of DNA</w:t>
      </w:r>
    </w:p>
    <w:p w:rsidR="004F7E66" w:rsidRDefault="004F7E66" w:rsidP="00994994">
      <w:pPr>
        <w:pStyle w:val="NoSpacing"/>
        <w:numPr>
          <w:ilvl w:val="0"/>
          <w:numId w:val="1"/>
        </w:numPr>
      </w:pPr>
      <w:r>
        <w:t>T: 2 weeks of Pen/Streptomycin + 1 year of oral trimethoprim-sulfamethoxazole</w:t>
      </w:r>
    </w:p>
    <w:p w:rsidR="00EF4901" w:rsidRDefault="00EF4901" w:rsidP="00EF4901">
      <w:pPr>
        <w:pStyle w:val="NoSpacing"/>
        <w:ind w:left="720"/>
      </w:pPr>
    </w:p>
    <w:p w:rsidR="00EF4901" w:rsidRPr="00994994" w:rsidRDefault="00EF4901" w:rsidP="00EF4901">
      <w:pPr>
        <w:pStyle w:val="NoSpacing"/>
        <w:rPr>
          <w:sz w:val="24"/>
        </w:rPr>
      </w:pPr>
      <w:r w:rsidRPr="00994994">
        <w:rPr>
          <w:sz w:val="24"/>
        </w:rPr>
        <w:t>Bacteria → Gm+ → Pleomorphic → Propionibacterium</w:t>
      </w:r>
    </w:p>
    <w:p w:rsidR="00EF4901" w:rsidRDefault="00EF4901" w:rsidP="00EF4901">
      <w:pPr>
        <w:pStyle w:val="NoSpacing"/>
        <w:numPr>
          <w:ilvl w:val="0"/>
          <w:numId w:val="2"/>
        </w:numPr>
      </w:pPr>
      <w:r>
        <w:t>Small | Non-motile | Normal flora on skin, eyes, oropharynx, female genital tract</w:t>
      </w:r>
    </w:p>
    <w:p w:rsidR="00994994" w:rsidRDefault="00994994" w:rsidP="00994994">
      <w:pPr>
        <w:pStyle w:val="NoSpacing"/>
      </w:pPr>
    </w:p>
    <w:p w:rsidR="00E027BB" w:rsidRPr="00C848F1" w:rsidRDefault="00E027BB" w:rsidP="00994994">
      <w:pPr>
        <w:pStyle w:val="NoSpacing"/>
        <w:rPr>
          <w:b/>
        </w:rPr>
      </w:pPr>
      <w:r w:rsidRPr="00C848F1">
        <w:rPr>
          <w:b/>
        </w:rPr>
        <w:t>P. acnes</w:t>
      </w:r>
    </w:p>
    <w:p w:rsidR="00E027BB" w:rsidRDefault="00E027BB" w:rsidP="00994994">
      <w:pPr>
        <w:pStyle w:val="NoSpacing"/>
        <w:numPr>
          <w:ilvl w:val="0"/>
          <w:numId w:val="2"/>
        </w:numPr>
      </w:pPr>
      <w:r>
        <w:t>Clinical: Acne vulgaris</w:t>
      </w:r>
    </w:p>
    <w:p w:rsidR="00E027BB" w:rsidRDefault="00E027BB" w:rsidP="00994994">
      <w:pPr>
        <w:pStyle w:val="NoSpacing"/>
        <w:numPr>
          <w:ilvl w:val="0"/>
          <w:numId w:val="2"/>
        </w:numPr>
      </w:pPr>
      <w:r>
        <w:t>Pathophysiology: Infects + Blocks sebaceous follicles</w:t>
      </w:r>
      <w:r w:rsidR="00EF0335">
        <w:t xml:space="preserve"> → inflammatory lesion + scarring</w:t>
      </w:r>
    </w:p>
    <w:p w:rsidR="00EF0335" w:rsidRDefault="00EF0335" w:rsidP="00994994">
      <w:pPr>
        <w:pStyle w:val="NoSpacing"/>
        <w:numPr>
          <w:ilvl w:val="0"/>
          <w:numId w:val="2"/>
        </w:numPr>
      </w:pPr>
      <w:r>
        <w:t>D: grows on most media</w:t>
      </w:r>
    </w:p>
    <w:p w:rsidR="00EF0335" w:rsidRDefault="00EF0335" w:rsidP="00994994">
      <w:pPr>
        <w:pStyle w:val="NoSpacing"/>
        <w:numPr>
          <w:ilvl w:val="0"/>
          <w:numId w:val="2"/>
        </w:numPr>
      </w:pPr>
      <w:r>
        <w:t>T: Topical antibiotics | Benzyl Peroxidase | Hormonal treatment</w:t>
      </w:r>
    </w:p>
    <w:p w:rsidR="00EF0335" w:rsidRDefault="00EF0335" w:rsidP="009745D0">
      <w:pPr>
        <w:pStyle w:val="NoSpacing"/>
      </w:pPr>
    </w:p>
    <w:sectPr w:rsidR="00EF0335" w:rsidSect="00EB00BF">
      <w:headerReference w:type="default" r:id="rId9"/>
      <w:footerReference w:type="default" r:id="rId10"/>
      <w:pgSz w:w="12240" w:h="15840"/>
      <w:pgMar w:top="720" w:right="720" w:bottom="720" w:left="720" w:header="720" w:footer="4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E8D" w:rsidRDefault="00D21E8D" w:rsidP="005A7673">
      <w:pPr>
        <w:spacing w:after="0" w:line="240" w:lineRule="auto"/>
      </w:pPr>
      <w:r>
        <w:separator/>
      </w:r>
    </w:p>
  </w:endnote>
  <w:endnote w:type="continuationSeparator" w:id="0">
    <w:p w:rsidR="00D21E8D" w:rsidRDefault="00D21E8D" w:rsidP="005A7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12594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B00BF" w:rsidRDefault="00EB00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1E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B00BF" w:rsidRDefault="00EB00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E8D" w:rsidRDefault="00D21E8D" w:rsidP="005A7673">
      <w:pPr>
        <w:spacing w:after="0" w:line="240" w:lineRule="auto"/>
      </w:pPr>
      <w:r>
        <w:separator/>
      </w:r>
    </w:p>
  </w:footnote>
  <w:footnote w:type="continuationSeparator" w:id="0">
    <w:p w:rsidR="00D21E8D" w:rsidRDefault="00D21E8D" w:rsidP="005A7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673" w:rsidRDefault="005A7673" w:rsidP="005A7673">
    <w:pPr>
      <w:pStyle w:val="Header"/>
      <w:jc w:val="right"/>
    </w:pPr>
    <w:r>
      <w:t>Nischal Raya</w:t>
    </w:r>
  </w:p>
  <w:p w:rsidR="005A7673" w:rsidRDefault="005A76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15pt;height:11.15pt" o:bullet="t">
        <v:imagedata r:id="rId1" o:title="msoC757"/>
      </v:shape>
    </w:pict>
  </w:numPicBullet>
  <w:abstractNum w:abstractNumId="0">
    <w:nsid w:val="07F44A22"/>
    <w:multiLevelType w:val="hybridMultilevel"/>
    <w:tmpl w:val="641AB62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0F138B"/>
    <w:multiLevelType w:val="hybridMultilevel"/>
    <w:tmpl w:val="E05CDCA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20390A"/>
    <w:multiLevelType w:val="hybridMultilevel"/>
    <w:tmpl w:val="D86C242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605454"/>
    <w:multiLevelType w:val="hybridMultilevel"/>
    <w:tmpl w:val="B8180BC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CFA"/>
    <w:rsid w:val="00053297"/>
    <w:rsid w:val="002C15E9"/>
    <w:rsid w:val="00342E11"/>
    <w:rsid w:val="003E0B9C"/>
    <w:rsid w:val="00464959"/>
    <w:rsid w:val="004F7E66"/>
    <w:rsid w:val="00514F2A"/>
    <w:rsid w:val="00587983"/>
    <w:rsid w:val="005A7673"/>
    <w:rsid w:val="00650C2A"/>
    <w:rsid w:val="007132D1"/>
    <w:rsid w:val="007538B9"/>
    <w:rsid w:val="00763CD5"/>
    <w:rsid w:val="00774B01"/>
    <w:rsid w:val="00924F6F"/>
    <w:rsid w:val="00971B49"/>
    <w:rsid w:val="009745D0"/>
    <w:rsid w:val="00994994"/>
    <w:rsid w:val="009B7CFA"/>
    <w:rsid w:val="00A823FE"/>
    <w:rsid w:val="00A8521C"/>
    <w:rsid w:val="00AC6B14"/>
    <w:rsid w:val="00B85423"/>
    <w:rsid w:val="00B87433"/>
    <w:rsid w:val="00BB7A16"/>
    <w:rsid w:val="00C848F1"/>
    <w:rsid w:val="00D21E8D"/>
    <w:rsid w:val="00D67B6D"/>
    <w:rsid w:val="00DA6B48"/>
    <w:rsid w:val="00E027BB"/>
    <w:rsid w:val="00E07B28"/>
    <w:rsid w:val="00E640B2"/>
    <w:rsid w:val="00EB00BF"/>
    <w:rsid w:val="00EC050F"/>
    <w:rsid w:val="00EE33DA"/>
    <w:rsid w:val="00EF0335"/>
    <w:rsid w:val="00E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7CF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A76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7673"/>
  </w:style>
  <w:style w:type="paragraph" w:styleId="Footer">
    <w:name w:val="footer"/>
    <w:basedOn w:val="Normal"/>
    <w:link w:val="FooterChar"/>
    <w:uiPriority w:val="99"/>
    <w:unhideWhenUsed/>
    <w:rsid w:val="005A76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7673"/>
  </w:style>
  <w:style w:type="paragraph" w:styleId="BalloonText">
    <w:name w:val="Balloon Text"/>
    <w:basedOn w:val="Normal"/>
    <w:link w:val="BalloonTextChar"/>
    <w:uiPriority w:val="99"/>
    <w:semiHidden/>
    <w:unhideWhenUsed/>
    <w:rsid w:val="005A7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6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7CF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A76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7673"/>
  </w:style>
  <w:style w:type="paragraph" w:styleId="Footer">
    <w:name w:val="footer"/>
    <w:basedOn w:val="Normal"/>
    <w:link w:val="FooterChar"/>
    <w:uiPriority w:val="99"/>
    <w:unhideWhenUsed/>
    <w:rsid w:val="005A76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7673"/>
  </w:style>
  <w:style w:type="paragraph" w:styleId="BalloonText">
    <w:name w:val="Balloon Text"/>
    <w:basedOn w:val="Normal"/>
    <w:link w:val="BalloonTextChar"/>
    <w:uiPriority w:val="99"/>
    <w:semiHidden/>
    <w:unhideWhenUsed/>
    <w:rsid w:val="005A7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6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176"/>
    <w:rsid w:val="002B1756"/>
    <w:rsid w:val="0053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6AD74A7615D466DA4A0B5DB457C8875">
    <w:name w:val="F6AD74A7615D466DA4A0B5DB457C8875"/>
    <w:rsid w:val="0053517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6AD74A7615D466DA4A0B5DB457C8875">
    <w:name w:val="F6AD74A7615D466DA4A0B5DB457C8875"/>
    <w:rsid w:val="005351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A8115-0208-468C-AF1E-64BF0EFF2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Nischal Raya</dc:creator>
  <cp:lastModifiedBy>Nischal</cp:lastModifiedBy>
  <cp:revision>31</cp:revision>
  <dcterms:created xsi:type="dcterms:W3CDTF">2012-09-19T00:49:00Z</dcterms:created>
  <dcterms:modified xsi:type="dcterms:W3CDTF">2012-09-21T14:58:00Z</dcterms:modified>
</cp:coreProperties>
</file>